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DBB23" w14:textId="77777777" w:rsidR="00E5138C" w:rsidRPr="00E5138C" w:rsidRDefault="00E5138C" w:rsidP="00DF3160">
      <w:pPr>
        <w:widowControl/>
        <w:spacing w:after="0" w:line="360" w:lineRule="auto"/>
        <w:jc w:val="center"/>
        <w:outlineLvl w:val="0"/>
        <w:rPr>
          <w:rFonts w:ascii="黑体" w:eastAsia="黑体" w:hAnsi="黑体" w:cs="宋体"/>
          <w:color w:val="000000"/>
          <w:kern w:val="36"/>
          <w:sz w:val="36"/>
          <w:szCs w:val="36"/>
          <w14:ligatures w14:val="none"/>
        </w:rPr>
      </w:pPr>
      <w:r w:rsidRPr="00E5138C">
        <w:rPr>
          <w:rFonts w:ascii="黑体" w:eastAsia="黑体" w:hAnsi="黑体" w:cs="宋体" w:hint="eastAsia"/>
          <w:color w:val="000000"/>
          <w:kern w:val="36"/>
          <w:sz w:val="36"/>
          <w:szCs w:val="36"/>
          <w14:ligatures w14:val="none"/>
        </w:rPr>
        <w:t>《电动汽车非车载充电机电能计量数据加密技术规范》</w:t>
      </w:r>
      <w:r w:rsidRPr="00E5138C">
        <w:rPr>
          <w:rFonts w:ascii="黑体" w:eastAsia="黑体" w:hAnsi="黑体" w:cs="宋体" w:hint="eastAsia"/>
          <w:color w:val="000000"/>
          <w:kern w:val="36"/>
          <w:sz w:val="36"/>
          <w:szCs w:val="36"/>
          <w14:ligatures w14:val="none"/>
        </w:rPr>
        <w:br/>
        <w:t>编 制 说 明</w:t>
      </w:r>
    </w:p>
    <w:p w14:paraId="0390F5BA" w14:textId="77777777" w:rsidR="00E5138C" w:rsidRPr="00E5138C" w:rsidRDefault="00E5138C" w:rsidP="00DF3160">
      <w:pPr>
        <w:widowControl/>
        <w:pBdr>
          <w:bottom w:val="single" w:sz="6" w:space="4" w:color="333333"/>
        </w:pBdr>
        <w:spacing w:after="0" w:line="360" w:lineRule="auto"/>
        <w:outlineLvl w:val="1"/>
        <w:rPr>
          <w:rFonts w:ascii="黑体" w:eastAsia="黑体" w:hAnsi="黑体" w:cs="宋体"/>
          <w:color w:val="000000"/>
          <w:kern w:val="0"/>
          <w:sz w:val="30"/>
          <w:szCs w:val="30"/>
          <w14:ligatures w14:val="none"/>
        </w:rPr>
      </w:pPr>
      <w:r w:rsidRPr="00E5138C">
        <w:rPr>
          <w:rFonts w:ascii="黑体" w:eastAsia="黑体" w:hAnsi="黑体" w:cs="宋体" w:hint="eastAsia"/>
          <w:color w:val="000000"/>
          <w:kern w:val="0"/>
          <w:sz w:val="30"/>
          <w:szCs w:val="30"/>
          <w14:ligatures w14:val="none"/>
        </w:rPr>
        <w:t>一、工作内容</w:t>
      </w:r>
    </w:p>
    <w:p w14:paraId="6B2F8309" w14:textId="77777777" w:rsidR="00E5138C" w:rsidRPr="00E5138C" w:rsidRDefault="00E5138C" w:rsidP="00DF3160">
      <w:pPr>
        <w:widowControl/>
        <w:spacing w:after="0" w:line="360" w:lineRule="auto"/>
        <w:outlineLvl w:val="2"/>
        <w:rPr>
          <w:rFonts w:ascii="黑体" w:eastAsia="黑体" w:hAnsi="黑体" w:cs="宋体"/>
          <w:color w:val="000000"/>
          <w:kern w:val="0"/>
          <w:sz w:val="27"/>
          <w:szCs w:val="27"/>
          <w14:ligatures w14:val="none"/>
        </w:rPr>
      </w:pPr>
      <w:r w:rsidRPr="00E5138C">
        <w:rPr>
          <w:rFonts w:ascii="黑体" w:eastAsia="黑体" w:hAnsi="黑体" w:cs="宋体" w:hint="eastAsia"/>
          <w:color w:val="000000"/>
          <w:kern w:val="0"/>
          <w:sz w:val="27"/>
          <w:szCs w:val="27"/>
          <w14:ligatures w14:val="none"/>
        </w:rPr>
        <w:t>1. 任务来源</w:t>
      </w:r>
    </w:p>
    <w:p w14:paraId="18C2DF64" w14:textId="5183F94E"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本技术规范的制定任务源于国家市场监督管理总局质量发展局“质量强链专项”项目——《电动汽车超充技术和设施规模化产业化质量基础提升》中的任务</w:t>
      </w:r>
      <w:r w:rsidR="00DF3160">
        <w:rPr>
          <w:rFonts w:ascii="宋体" w:eastAsia="宋体" w:hAnsi="宋体" w:cs="宋体" w:hint="eastAsia"/>
          <w:color w:val="000000"/>
          <w:kern w:val="0"/>
          <w:sz w:val="24"/>
          <w14:ligatures w14:val="none"/>
        </w:rPr>
        <w:t>2</w:t>
      </w:r>
      <w:r w:rsidRPr="00E5138C">
        <w:rPr>
          <w:rFonts w:ascii="宋体" w:eastAsia="宋体" w:hAnsi="宋体" w:cs="宋体" w:hint="eastAsia"/>
          <w:color w:val="000000"/>
          <w:kern w:val="0"/>
          <w:sz w:val="24"/>
          <w14:ligatures w14:val="none"/>
        </w:rPr>
        <w:t>“电动汽车超级充电桩电能量值溯源数据参考标准建设及示范应用”</w:t>
      </w:r>
      <w:r w:rsidR="00DF3160" w:rsidRPr="00DF3160">
        <w:rPr>
          <w:rFonts w:ascii="宋体" w:eastAsia="宋体" w:hAnsi="宋体" w:cs="宋体" w:hint="eastAsia"/>
          <w:color w:val="000000"/>
          <w:kern w:val="0"/>
          <w:sz w:val="24"/>
          <w14:ligatures w14:val="none"/>
        </w:rPr>
        <w:t xml:space="preserve"> </w:t>
      </w:r>
      <w:r w:rsidR="00DF3160" w:rsidRPr="00E5138C">
        <w:rPr>
          <w:rFonts w:ascii="宋体" w:eastAsia="宋体" w:hAnsi="宋体" w:cs="宋体" w:hint="eastAsia"/>
          <w:color w:val="000000"/>
          <w:kern w:val="0"/>
          <w:sz w:val="24"/>
          <w14:ligatures w14:val="none"/>
        </w:rPr>
        <w:t>（编号：ZLQL2025001-02）</w:t>
      </w:r>
      <w:r w:rsidRPr="00E5138C">
        <w:rPr>
          <w:rFonts w:ascii="宋体" w:eastAsia="宋体" w:hAnsi="宋体" w:cs="宋体" w:hint="eastAsia"/>
          <w:color w:val="000000"/>
          <w:kern w:val="0"/>
          <w:sz w:val="24"/>
          <w14:ligatures w14:val="none"/>
        </w:rPr>
        <w:t>。根据项目立项书的要求，为解决电动汽车</w:t>
      </w:r>
      <w:proofErr w:type="gramStart"/>
      <w:r w:rsidRPr="00E5138C">
        <w:rPr>
          <w:rFonts w:ascii="宋体" w:eastAsia="宋体" w:hAnsi="宋体" w:cs="宋体" w:hint="eastAsia"/>
          <w:color w:val="000000"/>
          <w:kern w:val="0"/>
          <w:sz w:val="24"/>
          <w14:ligatures w14:val="none"/>
        </w:rPr>
        <w:t>充电桩全生命周期</w:t>
      </w:r>
      <w:proofErr w:type="gramEnd"/>
      <w:r w:rsidRPr="00E5138C">
        <w:rPr>
          <w:rFonts w:ascii="宋体" w:eastAsia="宋体" w:hAnsi="宋体" w:cs="宋体" w:hint="eastAsia"/>
          <w:color w:val="000000"/>
          <w:kern w:val="0"/>
          <w:sz w:val="24"/>
          <w14:ligatures w14:val="none"/>
        </w:rPr>
        <w:t>计量监管难题，保障电能计量的准确性和数据可信度，特制定本技术规范，旨在为非车载充电机在出厂检定、运营服务等环节的电能计量核心数据提供统一、安全的加密方法和传输规约，是该项目的重要技术产出成果之一。</w:t>
      </w:r>
    </w:p>
    <w:p w14:paraId="0700C132" w14:textId="77777777" w:rsidR="00E5138C" w:rsidRPr="00E5138C" w:rsidRDefault="00E5138C" w:rsidP="00DF3160">
      <w:pPr>
        <w:widowControl/>
        <w:spacing w:after="0" w:line="360" w:lineRule="auto"/>
        <w:outlineLvl w:val="2"/>
        <w:rPr>
          <w:rFonts w:ascii="黑体" w:eastAsia="黑体" w:hAnsi="黑体" w:cs="宋体"/>
          <w:color w:val="000000"/>
          <w:kern w:val="0"/>
          <w:sz w:val="27"/>
          <w:szCs w:val="27"/>
          <w14:ligatures w14:val="none"/>
        </w:rPr>
      </w:pPr>
      <w:r w:rsidRPr="00E5138C">
        <w:rPr>
          <w:rFonts w:ascii="黑体" w:eastAsia="黑体" w:hAnsi="黑体" w:cs="宋体" w:hint="eastAsia"/>
          <w:color w:val="000000"/>
          <w:kern w:val="0"/>
          <w:sz w:val="27"/>
          <w:szCs w:val="27"/>
          <w14:ligatures w14:val="none"/>
        </w:rPr>
        <w:t>2. 主要参加单位和工作组成员</w:t>
      </w:r>
    </w:p>
    <w:p w14:paraId="430041AD"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主要起草单位：中国计量科学研究院、中国计量大学。</w:t>
      </w:r>
    </w:p>
    <w:p w14:paraId="7BE4719F"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参加起草单位：山东省计量科学研究院、安徽省计量科学研究院、浙江省质量科学研究院、青岛市计量技术研究院、杭州市计量测试学会。</w:t>
      </w:r>
    </w:p>
    <w:p w14:paraId="05E7D08F"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工作组成员有：王家福、李传生、郑迪、马雪锋、张云启、韩圆勋、景军、郑虹等。</w:t>
      </w:r>
    </w:p>
    <w:p w14:paraId="2938B1BA" w14:textId="77777777" w:rsidR="00E5138C" w:rsidRPr="00E5138C" w:rsidRDefault="00E5138C" w:rsidP="00DF3160">
      <w:pPr>
        <w:widowControl/>
        <w:spacing w:after="0" w:line="360" w:lineRule="auto"/>
        <w:outlineLvl w:val="2"/>
        <w:rPr>
          <w:rFonts w:ascii="黑体" w:eastAsia="黑体" w:hAnsi="黑体" w:cs="宋体"/>
          <w:color w:val="000000"/>
          <w:kern w:val="0"/>
          <w:sz w:val="27"/>
          <w:szCs w:val="27"/>
          <w14:ligatures w14:val="none"/>
        </w:rPr>
      </w:pPr>
      <w:r w:rsidRPr="00E5138C">
        <w:rPr>
          <w:rFonts w:ascii="黑体" w:eastAsia="黑体" w:hAnsi="黑体" w:cs="宋体" w:hint="eastAsia"/>
          <w:color w:val="000000"/>
          <w:kern w:val="0"/>
          <w:sz w:val="27"/>
          <w:szCs w:val="27"/>
          <w14:ligatures w14:val="none"/>
        </w:rPr>
        <w:t>3. 工作简要过程</w:t>
      </w:r>
    </w:p>
    <w:p w14:paraId="7F06F3C0"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2025年5月，国家市场监督管理总局“质量强链专项”项目正式启动，本规范作为项目核心产出，同步启动编制工作。</w:t>
      </w:r>
    </w:p>
    <w:p w14:paraId="48C1FC05"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2025年6月，由牵头单位中国计量科学研究院组织召开规范编制启动会，成立规范起草工作组，明确了规范的总体框架、核心技术路线、任务分工及进度安排，并完成了规范初稿的草拟。</w:t>
      </w:r>
    </w:p>
    <w:p w14:paraId="54EE1B9D"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lastRenderedPageBreak/>
        <w:t>2025年7月，起草工作组召开第一次全体会议，对规范初稿进行深入研讨，重点讨论了加密算法选型、密钥管理体系、数据接口定义等关键技术问题，并结合项目内示范应用需求，形成了规范的讨论稿。</w:t>
      </w:r>
    </w:p>
    <w:p w14:paraId="4DA64108"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2025年9月，在完成内部修改和完善后，形成规范的征求意见稿，并根据相关程序，向全国电磁计量技术委员会、相关计量技术机构、充电</w:t>
      </w:r>
      <w:proofErr w:type="gramStart"/>
      <w:r w:rsidRPr="00E5138C">
        <w:rPr>
          <w:rFonts w:ascii="宋体" w:eastAsia="宋体" w:hAnsi="宋体" w:cs="宋体" w:hint="eastAsia"/>
          <w:color w:val="000000"/>
          <w:kern w:val="0"/>
          <w:sz w:val="24"/>
          <w14:ligatures w14:val="none"/>
        </w:rPr>
        <w:t>桩制造</w:t>
      </w:r>
      <w:proofErr w:type="gramEnd"/>
      <w:r w:rsidRPr="00E5138C">
        <w:rPr>
          <w:rFonts w:ascii="宋体" w:eastAsia="宋体" w:hAnsi="宋体" w:cs="宋体" w:hint="eastAsia"/>
          <w:color w:val="000000"/>
          <w:kern w:val="0"/>
          <w:sz w:val="24"/>
          <w14:ligatures w14:val="none"/>
        </w:rPr>
        <w:t>企业、运营商及行业专家等单位广泛征求意见。</w:t>
      </w:r>
    </w:p>
    <w:p w14:paraId="7E19B86E"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2025年11月，起草工作组对收集到的反馈意见进行汇总、分析和处理，召开专题评审会，逐条研究并确定采纳意见，对征求意见稿进行修改完善，最终形成本规范的送审稿。</w:t>
      </w:r>
    </w:p>
    <w:p w14:paraId="3BC53CB6"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2025年12月，完成送审材料（送审稿、编制说明、意见汇总处理表等）的编制工作，并按程序上报全国电磁计量技术委员会进行审查。</w:t>
      </w:r>
    </w:p>
    <w:p w14:paraId="18B6E990" w14:textId="77777777" w:rsidR="00E5138C" w:rsidRPr="00E5138C" w:rsidRDefault="00E5138C" w:rsidP="00DF3160">
      <w:pPr>
        <w:widowControl/>
        <w:pBdr>
          <w:bottom w:val="single" w:sz="6" w:space="4" w:color="333333"/>
        </w:pBdr>
        <w:spacing w:after="0" w:line="360" w:lineRule="auto"/>
        <w:outlineLvl w:val="1"/>
        <w:rPr>
          <w:rFonts w:ascii="黑体" w:eastAsia="黑体" w:hAnsi="黑体" w:cs="宋体"/>
          <w:color w:val="000000"/>
          <w:kern w:val="0"/>
          <w:sz w:val="30"/>
          <w:szCs w:val="30"/>
          <w14:ligatures w14:val="none"/>
        </w:rPr>
      </w:pPr>
      <w:r w:rsidRPr="00E5138C">
        <w:rPr>
          <w:rFonts w:ascii="黑体" w:eastAsia="黑体" w:hAnsi="黑体" w:cs="宋体" w:hint="eastAsia"/>
          <w:color w:val="000000"/>
          <w:kern w:val="0"/>
          <w:sz w:val="30"/>
          <w:szCs w:val="30"/>
          <w14:ligatures w14:val="none"/>
        </w:rPr>
        <w:t>二、规范起草背景与必要性</w:t>
      </w:r>
    </w:p>
    <w:p w14:paraId="3C2AEBD1"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随着国家“双碳”战略的深入推进，我国新能源汽车产业进入爆发式增长阶段，作为其关键基础设施的电动汽车充电桩保有量持续攀升。电动汽车充电过程涉及电能交易，其计量准确性直接关系到贸易公平和消费者权益，因此，市场监管总局已将电动汽车充电桩纳入国家强制检定计量器具目录。</w:t>
      </w:r>
    </w:p>
    <w:p w14:paraId="55A574BC"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然而，现行的以现场周期检定为主的监管模式面临严峻挑战。一方面，充电桩数量庞大、分布广泛，传统现场逐台检定的方式效率低、成本高、工作负荷巨大，难以实现全面覆盖；另一方面，周期性检定存在监管盲区，无法有效防范计量作弊、数据篡改等行为，</w:t>
      </w:r>
      <w:proofErr w:type="gramStart"/>
      <w:r w:rsidRPr="00E5138C">
        <w:rPr>
          <w:rFonts w:ascii="宋体" w:eastAsia="宋体" w:hAnsi="宋体" w:cs="宋体" w:hint="eastAsia"/>
          <w:color w:val="000000"/>
          <w:kern w:val="0"/>
          <w:sz w:val="24"/>
          <w14:ligatures w14:val="none"/>
        </w:rPr>
        <w:t>充电桩全生命周期</w:t>
      </w:r>
      <w:proofErr w:type="gramEnd"/>
      <w:r w:rsidRPr="00E5138C">
        <w:rPr>
          <w:rFonts w:ascii="宋体" w:eastAsia="宋体" w:hAnsi="宋体" w:cs="宋体" w:hint="eastAsia"/>
          <w:color w:val="000000"/>
          <w:kern w:val="0"/>
          <w:sz w:val="24"/>
          <w14:ligatures w14:val="none"/>
        </w:rPr>
        <w:t>的计量性能状态难以得到持续、可信的监控。特别是对于大功率超级充电桩，其计量数据准确性和安全性的风险被进一步放大。</w:t>
      </w:r>
    </w:p>
    <w:p w14:paraId="477C38E6"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为破解上述难题，亟需构建一种基于可信数据的计量监管新模式。其核心思想是从源头抓起，在充电桩出厂检定环节即为其赋予唯一的“数字身份”，并将出厂检定数据、其内置电能表的检定数据以及后续的运营计量数据进行加密和链式关联，形成一条完整、安全、不可篡改的可信数据链。通过这种方式，可以实现对</w:t>
      </w:r>
      <w:proofErr w:type="gramStart"/>
      <w:r w:rsidRPr="00E5138C">
        <w:rPr>
          <w:rFonts w:ascii="宋体" w:eastAsia="宋体" w:hAnsi="宋体" w:cs="宋体" w:hint="eastAsia"/>
          <w:color w:val="000000"/>
          <w:kern w:val="0"/>
          <w:sz w:val="24"/>
          <w14:ligatures w14:val="none"/>
        </w:rPr>
        <w:t>充电桩全生命周期</w:t>
      </w:r>
      <w:proofErr w:type="gramEnd"/>
      <w:r w:rsidRPr="00E5138C">
        <w:rPr>
          <w:rFonts w:ascii="宋体" w:eastAsia="宋体" w:hAnsi="宋体" w:cs="宋体" w:hint="eastAsia"/>
          <w:color w:val="000000"/>
          <w:kern w:val="0"/>
          <w:sz w:val="24"/>
          <w14:ligatures w14:val="none"/>
        </w:rPr>
        <w:t>计量性能的远程、动态评价和智慧监管。数据加密是实现这一目标的基础和关键环节，它能确保计量数据在产生、传输、存储和使用过程中的真实性、完整性、保密性和不可否认性。</w:t>
      </w:r>
    </w:p>
    <w:p w14:paraId="039F98EA"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lastRenderedPageBreak/>
        <w:t>目前，国内在充电桩计量数据的加密技术方面尚无统一的国家计量技术规范，各厂商、平台间采用的加密方式、数据接口、安全协议各不相同，形成了“数据孤岛”，严重制约了跨平台、跨区域的计量智慧监管体系建设。因此，制定《电动汽车非车载充电机电能计量数据加密技术规范》，统一数据加密和传输要求，对于保障充电市场公平交易、提升计量监管效能、促进新能源汽车产业健康有序发展具有重要的现实意义和紧迫性。</w:t>
      </w:r>
    </w:p>
    <w:p w14:paraId="1CB9F5D1" w14:textId="77777777" w:rsidR="00E5138C" w:rsidRPr="00E5138C" w:rsidRDefault="00E5138C" w:rsidP="00DF3160">
      <w:pPr>
        <w:widowControl/>
        <w:pBdr>
          <w:bottom w:val="single" w:sz="6" w:space="4" w:color="333333"/>
        </w:pBdr>
        <w:spacing w:after="0" w:line="360" w:lineRule="auto"/>
        <w:outlineLvl w:val="1"/>
        <w:rPr>
          <w:rFonts w:ascii="黑体" w:eastAsia="黑体" w:hAnsi="黑体" w:cs="宋体"/>
          <w:color w:val="000000"/>
          <w:kern w:val="0"/>
          <w:sz w:val="30"/>
          <w:szCs w:val="30"/>
          <w14:ligatures w14:val="none"/>
        </w:rPr>
      </w:pPr>
      <w:r w:rsidRPr="00E5138C">
        <w:rPr>
          <w:rFonts w:ascii="黑体" w:eastAsia="黑体" w:hAnsi="黑体" w:cs="宋体" w:hint="eastAsia"/>
          <w:color w:val="000000"/>
          <w:kern w:val="0"/>
          <w:sz w:val="30"/>
          <w:szCs w:val="30"/>
          <w14:ligatures w14:val="none"/>
        </w:rPr>
        <w:t>三、规范制定原则</w:t>
      </w:r>
    </w:p>
    <w:p w14:paraId="25181E3B"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本规范的编制遵循科学性、先进性、可操作性和协调性的原则。</w:t>
      </w:r>
    </w:p>
    <w:p w14:paraId="294C85F7"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1. 依法依规：严格遵守《中华人民共和国计量法》等法律法规，并依据 JJF 1071《国家计量校准规范编写规则》等相关规定进行编制，确保规范的合法性与权威性。</w:t>
      </w:r>
    </w:p>
    <w:p w14:paraId="77BC27F9"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2. 技术先进：充分调研并借鉴了国内外信息安全、密码学领域的先进技术和标准，采用了业界成熟的非对称与</w:t>
      </w:r>
      <w:proofErr w:type="gramStart"/>
      <w:r w:rsidRPr="00E5138C">
        <w:rPr>
          <w:rFonts w:ascii="宋体" w:eastAsia="宋体" w:hAnsi="宋体" w:cs="宋体" w:hint="eastAsia"/>
          <w:color w:val="000000"/>
          <w:kern w:val="0"/>
          <w:sz w:val="24"/>
          <w14:ligatures w14:val="none"/>
        </w:rPr>
        <w:t>对称相</w:t>
      </w:r>
      <w:proofErr w:type="gramEnd"/>
      <w:r w:rsidRPr="00E5138C">
        <w:rPr>
          <w:rFonts w:ascii="宋体" w:eastAsia="宋体" w:hAnsi="宋体" w:cs="宋体" w:hint="eastAsia"/>
          <w:color w:val="000000"/>
          <w:kern w:val="0"/>
          <w:sz w:val="24"/>
          <w14:ligatures w14:val="none"/>
        </w:rPr>
        <w:t>结合的混合加密机制（如ECC和AES算法），确保技术方案的安全、可靠与高效。</w:t>
      </w:r>
    </w:p>
    <w:p w14:paraId="08567418"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3. 兼容协调：充分考虑了与现有计量技术规范体系的衔接，特别是与 JJG 1149《电动汽车非车载充电机检定规程》等规范相协调。同时，兼顾了与 GB/T 27930 等充电通信协议的兼容性，确保规范的顺利实施与推广。</w:t>
      </w:r>
    </w:p>
    <w:p w14:paraId="77B08146" w14:textId="77777777" w:rsidR="00E5138C" w:rsidRPr="00E5138C" w:rsidRDefault="00E5138C" w:rsidP="00DF3160">
      <w:pPr>
        <w:widowControl/>
        <w:spacing w:after="0" w:line="360" w:lineRule="auto"/>
        <w:ind w:firstLine="480"/>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4. 实用可操作：规范内容力求明确、具体，对数据接口、通信协议、加密流程等给出了详细规定，充分考虑了充电桩制造商、电能表制造商、运营商和监管机构等各方实施的可行性，便于各方遵照执行。</w:t>
      </w:r>
    </w:p>
    <w:p w14:paraId="495C6259" w14:textId="77777777" w:rsidR="00E5138C" w:rsidRPr="00E5138C" w:rsidRDefault="00E5138C" w:rsidP="00DF3160">
      <w:pPr>
        <w:widowControl/>
        <w:pBdr>
          <w:bottom w:val="single" w:sz="6" w:space="4" w:color="333333"/>
        </w:pBdr>
        <w:spacing w:after="0" w:line="360" w:lineRule="auto"/>
        <w:outlineLvl w:val="1"/>
        <w:rPr>
          <w:rFonts w:ascii="黑体" w:eastAsia="黑体" w:hAnsi="黑体" w:cs="宋体"/>
          <w:color w:val="000000"/>
          <w:kern w:val="0"/>
          <w:sz w:val="30"/>
          <w:szCs w:val="30"/>
          <w14:ligatures w14:val="none"/>
        </w:rPr>
      </w:pPr>
      <w:r w:rsidRPr="00E5138C">
        <w:rPr>
          <w:rFonts w:ascii="黑体" w:eastAsia="黑体" w:hAnsi="黑体" w:cs="宋体" w:hint="eastAsia"/>
          <w:color w:val="000000"/>
          <w:kern w:val="0"/>
          <w:sz w:val="30"/>
          <w:szCs w:val="30"/>
          <w14:ligatures w14:val="none"/>
        </w:rPr>
        <w:t>四、重要技术条文解释</w:t>
      </w:r>
    </w:p>
    <w:p w14:paraId="35A497AE"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本规范的核心技术创新在于构建了一个场景化、分层级的综合安全防护体系，需要对以下两个关键技术条文进行特别说明：</w:t>
      </w:r>
    </w:p>
    <w:p w14:paraId="07590BF4"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color w:val="000000"/>
          <w:kern w:val="0"/>
          <w:sz w:val="24"/>
          <w14:ligatures w14:val="none"/>
        </w:rPr>
        <w:t>1. 关于交易计量数据的“端到端加密与安全透传”模型 (第5.3节)</w:t>
      </w:r>
    </w:p>
    <w:p w14:paraId="7E2C4AC1"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这是本规范最为核心和强制的要求。考虑到交易计量数据直接关系到贸易结算的公平性，其安全性要求最高。本规范规定，此类数据必须在数据源头——即电能计量模块内部，就完成加密和数字签名。此后，该加密数据包在经过</w:t>
      </w:r>
      <w:r w:rsidRPr="00213FFC">
        <w:rPr>
          <w:rFonts w:ascii="宋体" w:eastAsia="宋体" w:hAnsi="宋体" w:cs="宋体" w:hint="eastAsia"/>
          <w:color w:val="000000"/>
          <w:kern w:val="0"/>
          <w:sz w:val="24"/>
          <w14:ligatures w14:val="none"/>
        </w:rPr>
        <w:lastRenderedPageBreak/>
        <w:t>充电桩、运营平台等中间环节时，必须被视为一个不可分割、不可解析的“黑盒子”进行原封不动的“透传”。这种机制的优势在于：</w:t>
      </w:r>
    </w:p>
    <w:p w14:paraId="043CDA62"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p>
    <w:p w14:paraId="2D929647" w14:textId="1396C56F"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责任清晰电能计量模块对数据的原始性、真实性负全责；中间环节仅对数据的转发负责，无需也无权访问核心数据。</w:t>
      </w:r>
    </w:p>
    <w:p w14:paraId="584DFBD4"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安全性高：即使中间环节的系统被攻破，攻击者也无法获取和篡改真实的计量数据，从根本上杜绝了传输过程中的安全风险。</w:t>
      </w:r>
    </w:p>
    <w:p w14:paraId="458B65CD"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color w:val="000000"/>
          <w:kern w:val="0"/>
          <w:sz w:val="24"/>
          <w14:ligatures w14:val="none"/>
        </w:rPr>
        <w:t>2. 关于生产与管理数据的“平台间安全传输”要求 (第5.4节)</w:t>
      </w:r>
    </w:p>
    <w:p w14:paraId="0FCD40EB"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对于设备出厂信息、运营管理数据等，本规范并未采用端到端加密，而是规定其遵循</w:t>
      </w:r>
      <w:r w:rsidRPr="00213FFC">
        <w:rPr>
          <w:rFonts w:ascii="宋体" w:eastAsia="宋体" w:hAnsi="宋体" w:cs="宋体"/>
          <w:color w:val="000000"/>
          <w:kern w:val="0"/>
          <w:sz w:val="24"/>
          <w14:ligatures w14:val="none"/>
        </w:rPr>
        <w:t xml:space="preserve"> T/CEC 102.4 的平台间安全交互模型，并对其进行国密化升级。这一设计的</w:t>
      </w:r>
      <w:proofErr w:type="gramStart"/>
      <w:r w:rsidRPr="00213FFC">
        <w:rPr>
          <w:rFonts w:ascii="宋体" w:eastAsia="宋体" w:hAnsi="宋体" w:cs="宋体"/>
          <w:color w:val="000000"/>
          <w:kern w:val="0"/>
          <w:sz w:val="24"/>
          <w14:ligatures w14:val="none"/>
        </w:rPr>
        <w:t>考量</w:t>
      </w:r>
      <w:proofErr w:type="gramEnd"/>
      <w:r w:rsidRPr="00213FFC">
        <w:rPr>
          <w:rFonts w:ascii="宋体" w:eastAsia="宋体" w:hAnsi="宋体" w:cs="宋体"/>
          <w:color w:val="000000"/>
          <w:kern w:val="0"/>
          <w:sz w:val="24"/>
          <w14:ligatures w14:val="none"/>
        </w:rPr>
        <w:t>是：</w:t>
      </w:r>
    </w:p>
    <w:p w14:paraId="48933A2F"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数据性质不同：这类数据通常由平台方（如制造商平台、运营商平台）产生和管理，本身就需要被中间平台解析和处理，不适合端到端加密。</w:t>
      </w:r>
    </w:p>
    <w:p w14:paraId="5AE28733"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标准协调：</w:t>
      </w:r>
      <w:r w:rsidRPr="00213FFC">
        <w:rPr>
          <w:rFonts w:ascii="宋体" w:eastAsia="宋体" w:hAnsi="宋体" w:cs="宋体"/>
          <w:color w:val="000000"/>
          <w:kern w:val="0"/>
          <w:sz w:val="24"/>
          <w14:ligatures w14:val="none"/>
        </w:rPr>
        <w:t>T/CEC 102.4 已经为这类平台间的信息交换提供了成熟的框架。本规范在此基础上进行“安全增强”，既尊重了行业现有实践，又提升了安全等级，确保了规范的平稳落地。</w:t>
      </w:r>
    </w:p>
    <w:p w14:paraId="6790A994" w14:textId="5387961D" w:rsidR="00E5138C" w:rsidRPr="00E5138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通过上述两种机制的结合，本规范为不同类型、不同路径的数据流提供了最适宜的安全防护方案，构建了一个既足够安全又兼具灵活性的全面数据加密体系。</w:t>
      </w:r>
    </w:p>
    <w:p w14:paraId="33C6821C" w14:textId="77777777" w:rsidR="00E5138C" w:rsidRPr="00E5138C" w:rsidRDefault="00E5138C" w:rsidP="00DF3160">
      <w:pPr>
        <w:widowControl/>
        <w:pBdr>
          <w:bottom w:val="single" w:sz="6" w:space="4" w:color="333333"/>
        </w:pBdr>
        <w:spacing w:after="0" w:line="360" w:lineRule="auto"/>
        <w:outlineLvl w:val="1"/>
        <w:rPr>
          <w:rFonts w:ascii="黑体" w:eastAsia="黑体" w:hAnsi="黑体" w:cs="宋体"/>
          <w:color w:val="000000"/>
          <w:kern w:val="0"/>
          <w:sz w:val="30"/>
          <w:szCs w:val="30"/>
          <w14:ligatures w14:val="none"/>
        </w:rPr>
      </w:pPr>
      <w:r w:rsidRPr="00E5138C">
        <w:rPr>
          <w:rFonts w:ascii="黑体" w:eastAsia="黑体" w:hAnsi="黑体" w:cs="宋体" w:hint="eastAsia"/>
          <w:color w:val="000000"/>
          <w:kern w:val="0"/>
          <w:sz w:val="30"/>
          <w:szCs w:val="30"/>
          <w14:ligatures w14:val="none"/>
        </w:rPr>
        <w:t>五、规范的主要内容</w:t>
      </w:r>
    </w:p>
    <w:p w14:paraId="2D4C7914"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本规范共分为五个章节和三个附录，主要内容如下：</w:t>
      </w:r>
    </w:p>
    <w:p w14:paraId="69CDB441"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第</w:t>
      </w:r>
      <w:r w:rsidRPr="00213FFC">
        <w:rPr>
          <w:rFonts w:ascii="宋体" w:eastAsia="宋体" w:hAnsi="宋体" w:cs="宋体"/>
          <w:color w:val="000000"/>
          <w:kern w:val="0"/>
          <w:sz w:val="24"/>
          <w14:ligatures w14:val="none"/>
        </w:rPr>
        <w:t>1章 范围：规定了本规范的适用对象和场景，涵盖了从电能计量模块到各级平台的全链路。</w:t>
      </w:r>
    </w:p>
    <w:p w14:paraId="1389001A"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第</w:t>
      </w:r>
      <w:r w:rsidRPr="00213FFC">
        <w:rPr>
          <w:rFonts w:ascii="宋体" w:eastAsia="宋体" w:hAnsi="宋体" w:cs="宋体"/>
          <w:color w:val="000000"/>
          <w:kern w:val="0"/>
          <w:sz w:val="24"/>
          <w14:ligatures w14:val="none"/>
        </w:rPr>
        <w:t>2章 规范性引用文件：列出了本规范制定过程中引用的关键标准文件。</w:t>
      </w:r>
    </w:p>
    <w:p w14:paraId="09D59ACC"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第</w:t>
      </w:r>
      <w:r w:rsidRPr="00213FFC">
        <w:rPr>
          <w:rFonts w:ascii="宋体" w:eastAsia="宋体" w:hAnsi="宋体" w:cs="宋体"/>
          <w:color w:val="000000"/>
          <w:kern w:val="0"/>
          <w:sz w:val="24"/>
          <w14:ligatures w14:val="none"/>
        </w:rPr>
        <w:t>3章 术语和定义：界定了与本规范相关的核心术语，如交易计量数据、</w:t>
      </w:r>
      <w:proofErr w:type="gramStart"/>
      <w:r w:rsidRPr="00213FFC">
        <w:rPr>
          <w:rFonts w:ascii="宋体" w:eastAsia="宋体" w:hAnsi="宋体" w:cs="宋体"/>
          <w:color w:val="000000"/>
          <w:kern w:val="0"/>
          <w:sz w:val="24"/>
          <w14:ligatures w14:val="none"/>
        </w:rPr>
        <w:t>透传等</w:t>
      </w:r>
      <w:proofErr w:type="gramEnd"/>
      <w:r w:rsidRPr="00213FFC">
        <w:rPr>
          <w:rFonts w:ascii="宋体" w:eastAsia="宋体" w:hAnsi="宋体" w:cs="宋体"/>
          <w:color w:val="000000"/>
          <w:kern w:val="0"/>
          <w:sz w:val="24"/>
          <w14:ligatures w14:val="none"/>
        </w:rPr>
        <w:t>。</w:t>
      </w:r>
    </w:p>
    <w:p w14:paraId="62A0442C"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第</w:t>
      </w:r>
      <w:r w:rsidRPr="00213FFC">
        <w:rPr>
          <w:rFonts w:ascii="宋体" w:eastAsia="宋体" w:hAnsi="宋体" w:cs="宋体"/>
          <w:color w:val="000000"/>
          <w:kern w:val="0"/>
          <w:sz w:val="24"/>
          <w14:ligatures w14:val="none"/>
        </w:rPr>
        <w:t>4章 总体框架：阐述了本规范的核心——端到</w:t>
      </w:r>
      <w:proofErr w:type="gramStart"/>
      <w:r w:rsidRPr="00213FFC">
        <w:rPr>
          <w:rFonts w:ascii="宋体" w:eastAsia="宋体" w:hAnsi="宋体" w:cs="宋体"/>
          <w:color w:val="000000"/>
          <w:kern w:val="0"/>
          <w:sz w:val="24"/>
          <w14:ligatures w14:val="none"/>
        </w:rPr>
        <w:t>端安</w:t>
      </w:r>
      <w:proofErr w:type="gramEnd"/>
      <w:r w:rsidRPr="00213FFC">
        <w:rPr>
          <w:rFonts w:ascii="宋体" w:eastAsia="宋体" w:hAnsi="宋体" w:cs="宋体"/>
          <w:color w:val="000000"/>
          <w:kern w:val="0"/>
          <w:sz w:val="24"/>
          <w14:ligatures w14:val="none"/>
        </w:rPr>
        <w:t>全传输模型，并清晰划分了本规范管辖的各类数据传输场景。</w:t>
      </w:r>
    </w:p>
    <w:p w14:paraId="39643170"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lastRenderedPageBreak/>
        <w:t>第</w:t>
      </w:r>
      <w:r w:rsidRPr="00213FFC">
        <w:rPr>
          <w:rFonts w:ascii="宋体" w:eastAsia="宋体" w:hAnsi="宋体" w:cs="宋体"/>
          <w:color w:val="000000"/>
          <w:kern w:val="0"/>
          <w:sz w:val="24"/>
          <w14:ligatures w14:val="none"/>
        </w:rPr>
        <w:t>5章 技术要求：是本规范的核心章节。详细规定了总体安全原则、电能计量模块的功能要求，并针对“交易计量数据”和“生产与管理数据”两类场景，分别提出了具体的安全要求和实现路径。最后对密钥管理体系进行了统一规定。</w:t>
      </w:r>
    </w:p>
    <w:p w14:paraId="53C96D47"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附录</w:t>
      </w:r>
      <w:r w:rsidRPr="00213FFC">
        <w:rPr>
          <w:rFonts w:ascii="宋体" w:eastAsia="宋体" w:hAnsi="宋体" w:cs="宋体"/>
          <w:color w:val="000000"/>
          <w:kern w:val="0"/>
          <w:sz w:val="24"/>
          <w14:ligatures w14:val="none"/>
        </w:rPr>
        <w:t>A (规范性附录)：规定了交易计量数据加密前的明文数据项编码，确保了数据的互操作性。</w:t>
      </w:r>
    </w:p>
    <w:p w14:paraId="71722398"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附录</w:t>
      </w:r>
      <w:r w:rsidRPr="00213FFC">
        <w:rPr>
          <w:rFonts w:ascii="宋体" w:eastAsia="宋体" w:hAnsi="宋体" w:cs="宋体"/>
          <w:color w:val="000000"/>
          <w:kern w:val="0"/>
          <w:sz w:val="24"/>
          <w14:ligatures w14:val="none"/>
        </w:rPr>
        <w:t>B (资料性附录)：通过一个完整的端到端加密流程示例，为开发者提供了具体的技术实现参考。</w:t>
      </w:r>
    </w:p>
    <w:p w14:paraId="42CC6026" w14:textId="77777777" w:rsidR="00213FFC" w:rsidRPr="00213FFC" w:rsidRDefault="00213FFC" w:rsidP="00213FFC">
      <w:pPr>
        <w:widowControl/>
        <w:spacing w:after="0" w:line="360" w:lineRule="auto"/>
        <w:ind w:firstLine="480"/>
        <w:rPr>
          <w:rFonts w:ascii="宋体" w:eastAsia="宋体" w:hAnsi="宋体" w:cs="宋体"/>
          <w:color w:val="000000"/>
          <w:kern w:val="0"/>
          <w:sz w:val="24"/>
          <w14:ligatures w14:val="none"/>
        </w:rPr>
      </w:pPr>
      <w:r w:rsidRPr="00213FFC">
        <w:rPr>
          <w:rFonts w:ascii="宋体" w:eastAsia="宋体" w:hAnsi="宋体" w:cs="宋体" w:hint="eastAsia"/>
          <w:color w:val="000000"/>
          <w:kern w:val="0"/>
          <w:sz w:val="24"/>
          <w14:ligatures w14:val="none"/>
        </w:rPr>
        <w:t>附录</w:t>
      </w:r>
      <w:r w:rsidRPr="00213FFC">
        <w:rPr>
          <w:rFonts w:ascii="宋体" w:eastAsia="宋体" w:hAnsi="宋体" w:cs="宋体"/>
          <w:color w:val="000000"/>
          <w:kern w:val="0"/>
          <w:sz w:val="24"/>
          <w14:ligatures w14:val="none"/>
        </w:rPr>
        <w:t>C (资料性附录)：展示了加密数据包在实际网络传输中的JSON封装方式，增强了规范的可操作性。</w:t>
      </w:r>
    </w:p>
    <w:p w14:paraId="2DB5C02D" w14:textId="5F61EC2D" w:rsidR="00E5138C" w:rsidRPr="00213FFC" w:rsidRDefault="00E5138C" w:rsidP="00DF3160">
      <w:pPr>
        <w:widowControl/>
        <w:spacing w:after="0" w:line="360" w:lineRule="auto"/>
        <w:ind w:firstLine="480"/>
        <w:rPr>
          <w:rFonts w:ascii="宋体" w:eastAsia="宋体" w:hAnsi="宋体" w:cs="宋体"/>
          <w:color w:val="000000"/>
          <w:kern w:val="0"/>
          <w:sz w:val="24"/>
          <w14:ligatures w14:val="none"/>
        </w:rPr>
      </w:pPr>
    </w:p>
    <w:p w14:paraId="2B0EDA98" w14:textId="77777777" w:rsidR="0029449C" w:rsidRPr="00E5138C" w:rsidRDefault="0029449C" w:rsidP="00DF3160">
      <w:pPr>
        <w:widowControl/>
        <w:spacing w:after="0" w:line="360" w:lineRule="auto"/>
        <w:ind w:firstLine="480"/>
        <w:rPr>
          <w:rFonts w:ascii="宋体" w:eastAsia="宋体" w:hAnsi="宋体" w:cs="宋体"/>
          <w:color w:val="000000"/>
          <w:kern w:val="0"/>
          <w:sz w:val="24"/>
          <w14:ligatures w14:val="none"/>
        </w:rPr>
      </w:pPr>
    </w:p>
    <w:p w14:paraId="309A40CF" w14:textId="65783B37" w:rsidR="00E5138C" w:rsidRPr="00E5138C" w:rsidRDefault="00E5138C" w:rsidP="00DF3160">
      <w:pPr>
        <w:widowControl/>
        <w:spacing w:after="0" w:line="360" w:lineRule="auto"/>
        <w:ind w:firstLine="480"/>
        <w:jc w:val="right"/>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规范起草组</w:t>
      </w:r>
    </w:p>
    <w:p w14:paraId="28B52376" w14:textId="5CA6B8A9" w:rsidR="00E5138C" w:rsidRPr="00E5138C" w:rsidRDefault="00E5138C" w:rsidP="00DF3160">
      <w:pPr>
        <w:widowControl/>
        <w:spacing w:after="0" w:line="360" w:lineRule="auto"/>
        <w:ind w:firstLine="480"/>
        <w:jc w:val="right"/>
        <w:rPr>
          <w:rFonts w:ascii="宋体" w:eastAsia="宋体" w:hAnsi="宋体" w:cs="宋体"/>
          <w:color w:val="000000"/>
          <w:kern w:val="0"/>
          <w:sz w:val="24"/>
          <w14:ligatures w14:val="none"/>
        </w:rPr>
      </w:pPr>
      <w:r w:rsidRPr="00E5138C">
        <w:rPr>
          <w:rFonts w:ascii="宋体" w:eastAsia="宋体" w:hAnsi="宋体" w:cs="宋体" w:hint="eastAsia"/>
          <w:color w:val="000000"/>
          <w:kern w:val="0"/>
          <w:sz w:val="24"/>
          <w14:ligatures w14:val="none"/>
        </w:rPr>
        <w:t>2025年1</w:t>
      </w:r>
      <w:r w:rsidR="00D74C22" w:rsidRPr="00DF3160">
        <w:rPr>
          <w:rFonts w:ascii="宋体" w:eastAsia="宋体" w:hAnsi="宋体" w:cs="宋体" w:hint="eastAsia"/>
          <w:color w:val="000000"/>
          <w:kern w:val="0"/>
          <w:sz w:val="24"/>
          <w14:ligatures w14:val="none"/>
        </w:rPr>
        <w:t>1</w:t>
      </w:r>
      <w:r w:rsidRPr="00E5138C">
        <w:rPr>
          <w:rFonts w:ascii="宋体" w:eastAsia="宋体" w:hAnsi="宋体" w:cs="宋体" w:hint="eastAsia"/>
          <w:color w:val="000000"/>
          <w:kern w:val="0"/>
          <w:sz w:val="24"/>
          <w14:ligatures w14:val="none"/>
        </w:rPr>
        <w:t>月</w:t>
      </w:r>
      <w:r w:rsidR="00D74C22" w:rsidRPr="00DF3160">
        <w:rPr>
          <w:rFonts w:ascii="宋体" w:eastAsia="宋体" w:hAnsi="宋体" w:cs="宋体" w:hint="eastAsia"/>
          <w:color w:val="000000"/>
          <w:kern w:val="0"/>
          <w:sz w:val="24"/>
          <w14:ligatures w14:val="none"/>
        </w:rPr>
        <w:t>4</w:t>
      </w:r>
      <w:r w:rsidRPr="00E5138C">
        <w:rPr>
          <w:rFonts w:ascii="宋体" w:eastAsia="宋体" w:hAnsi="宋体" w:cs="宋体" w:hint="eastAsia"/>
          <w:color w:val="000000"/>
          <w:kern w:val="0"/>
          <w:sz w:val="24"/>
          <w14:ligatures w14:val="none"/>
        </w:rPr>
        <w:t>日</w:t>
      </w:r>
    </w:p>
    <w:p w14:paraId="5C9CF6D5" w14:textId="77777777" w:rsidR="00844232" w:rsidRPr="00DF3160" w:rsidRDefault="00844232" w:rsidP="00DF3160">
      <w:pPr>
        <w:spacing w:after="0" w:line="360" w:lineRule="auto"/>
      </w:pPr>
    </w:p>
    <w:sectPr w:rsidR="00844232" w:rsidRPr="00DF31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42A9E"/>
    <w:multiLevelType w:val="multilevel"/>
    <w:tmpl w:val="57B4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2947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35A"/>
    <w:rsid w:val="000F2325"/>
    <w:rsid w:val="00123C05"/>
    <w:rsid w:val="00205A18"/>
    <w:rsid w:val="00213FFC"/>
    <w:rsid w:val="00227DD5"/>
    <w:rsid w:val="002745A9"/>
    <w:rsid w:val="0029449C"/>
    <w:rsid w:val="002F4850"/>
    <w:rsid w:val="003A0CB8"/>
    <w:rsid w:val="004079F2"/>
    <w:rsid w:val="0044602F"/>
    <w:rsid w:val="00453CCE"/>
    <w:rsid w:val="004E283C"/>
    <w:rsid w:val="00596C10"/>
    <w:rsid w:val="005C2347"/>
    <w:rsid w:val="00660867"/>
    <w:rsid w:val="0067666D"/>
    <w:rsid w:val="006D5F5A"/>
    <w:rsid w:val="00786CB1"/>
    <w:rsid w:val="007E1D51"/>
    <w:rsid w:val="00832039"/>
    <w:rsid w:val="00844232"/>
    <w:rsid w:val="008577BA"/>
    <w:rsid w:val="00861402"/>
    <w:rsid w:val="008A2E43"/>
    <w:rsid w:val="008D393E"/>
    <w:rsid w:val="008E159C"/>
    <w:rsid w:val="008E6EB5"/>
    <w:rsid w:val="009A0A31"/>
    <w:rsid w:val="009E3A8F"/>
    <w:rsid w:val="00A034EE"/>
    <w:rsid w:val="00AB0A2C"/>
    <w:rsid w:val="00AB3C9F"/>
    <w:rsid w:val="00AF1BA0"/>
    <w:rsid w:val="00B50459"/>
    <w:rsid w:val="00B6435A"/>
    <w:rsid w:val="00B806CE"/>
    <w:rsid w:val="00BF2B71"/>
    <w:rsid w:val="00C05C02"/>
    <w:rsid w:val="00C108B2"/>
    <w:rsid w:val="00CD7158"/>
    <w:rsid w:val="00D015C8"/>
    <w:rsid w:val="00D349CA"/>
    <w:rsid w:val="00D74C22"/>
    <w:rsid w:val="00DD51C4"/>
    <w:rsid w:val="00DF3160"/>
    <w:rsid w:val="00DF3D4D"/>
    <w:rsid w:val="00E5138C"/>
    <w:rsid w:val="00E70EA1"/>
    <w:rsid w:val="00E94078"/>
    <w:rsid w:val="00F047B7"/>
    <w:rsid w:val="00F41137"/>
    <w:rsid w:val="00FF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6BC4F"/>
  <w15:chartTrackingRefBased/>
  <w15:docId w15:val="{4D967349-6126-4F56-AD34-C259E6DC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6435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B6435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B6435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6435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6435A"/>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B6435A"/>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6435A"/>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6435A"/>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6435A"/>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6435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B6435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B6435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6435A"/>
    <w:rPr>
      <w:rFonts w:cstheme="majorBidi"/>
      <w:color w:val="0F4761" w:themeColor="accent1" w:themeShade="BF"/>
      <w:sz w:val="28"/>
      <w:szCs w:val="28"/>
    </w:rPr>
  </w:style>
  <w:style w:type="character" w:customStyle="1" w:styleId="50">
    <w:name w:val="标题 5 字符"/>
    <w:basedOn w:val="a0"/>
    <w:link w:val="5"/>
    <w:uiPriority w:val="9"/>
    <w:semiHidden/>
    <w:rsid w:val="00B6435A"/>
    <w:rPr>
      <w:rFonts w:cstheme="majorBidi"/>
      <w:color w:val="0F4761" w:themeColor="accent1" w:themeShade="BF"/>
      <w:sz w:val="24"/>
    </w:rPr>
  </w:style>
  <w:style w:type="character" w:customStyle="1" w:styleId="60">
    <w:name w:val="标题 6 字符"/>
    <w:basedOn w:val="a0"/>
    <w:link w:val="6"/>
    <w:uiPriority w:val="9"/>
    <w:semiHidden/>
    <w:rsid w:val="00B6435A"/>
    <w:rPr>
      <w:rFonts w:cstheme="majorBidi"/>
      <w:b/>
      <w:bCs/>
      <w:color w:val="0F4761" w:themeColor="accent1" w:themeShade="BF"/>
    </w:rPr>
  </w:style>
  <w:style w:type="character" w:customStyle="1" w:styleId="70">
    <w:name w:val="标题 7 字符"/>
    <w:basedOn w:val="a0"/>
    <w:link w:val="7"/>
    <w:uiPriority w:val="9"/>
    <w:semiHidden/>
    <w:rsid w:val="00B6435A"/>
    <w:rPr>
      <w:rFonts w:cstheme="majorBidi"/>
      <w:b/>
      <w:bCs/>
      <w:color w:val="595959" w:themeColor="text1" w:themeTint="A6"/>
    </w:rPr>
  </w:style>
  <w:style w:type="character" w:customStyle="1" w:styleId="80">
    <w:name w:val="标题 8 字符"/>
    <w:basedOn w:val="a0"/>
    <w:link w:val="8"/>
    <w:uiPriority w:val="9"/>
    <w:semiHidden/>
    <w:rsid w:val="00B6435A"/>
    <w:rPr>
      <w:rFonts w:cstheme="majorBidi"/>
      <w:color w:val="595959" w:themeColor="text1" w:themeTint="A6"/>
    </w:rPr>
  </w:style>
  <w:style w:type="character" w:customStyle="1" w:styleId="90">
    <w:name w:val="标题 9 字符"/>
    <w:basedOn w:val="a0"/>
    <w:link w:val="9"/>
    <w:uiPriority w:val="9"/>
    <w:semiHidden/>
    <w:rsid w:val="00B6435A"/>
    <w:rPr>
      <w:rFonts w:eastAsiaTheme="majorEastAsia" w:cstheme="majorBidi"/>
      <w:color w:val="595959" w:themeColor="text1" w:themeTint="A6"/>
    </w:rPr>
  </w:style>
  <w:style w:type="paragraph" w:styleId="a3">
    <w:name w:val="Title"/>
    <w:basedOn w:val="a"/>
    <w:next w:val="a"/>
    <w:link w:val="a4"/>
    <w:uiPriority w:val="10"/>
    <w:qFormat/>
    <w:rsid w:val="00B6435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6435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435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6435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6435A"/>
    <w:pPr>
      <w:spacing w:before="160"/>
      <w:jc w:val="center"/>
    </w:pPr>
    <w:rPr>
      <w:i/>
      <w:iCs/>
      <w:color w:val="404040" w:themeColor="text1" w:themeTint="BF"/>
    </w:rPr>
  </w:style>
  <w:style w:type="character" w:customStyle="1" w:styleId="a8">
    <w:name w:val="引用 字符"/>
    <w:basedOn w:val="a0"/>
    <w:link w:val="a7"/>
    <w:uiPriority w:val="29"/>
    <w:rsid w:val="00B6435A"/>
    <w:rPr>
      <w:i/>
      <w:iCs/>
      <w:color w:val="404040" w:themeColor="text1" w:themeTint="BF"/>
    </w:rPr>
  </w:style>
  <w:style w:type="paragraph" w:styleId="a9">
    <w:name w:val="List Paragraph"/>
    <w:basedOn w:val="a"/>
    <w:uiPriority w:val="34"/>
    <w:qFormat/>
    <w:rsid w:val="00B6435A"/>
    <w:pPr>
      <w:ind w:left="720"/>
      <w:contextualSpacing/>
    </w:pPr>
  </w:style>
  <w:style w:type="character" w:styleId="aa">
    <w:name w:val="Intense Emphasis"/>
    <w:basedOn w:val="a0"/>
    <w:uiPriority w:val="21"/>
    <w:qFormat/>
    <w:rsid w:val="00B6435A"/>
    <w:rPr>
      <w:i/>
      <w:iCs/>
      <w:color w:val="0F4761" w:themeColor="accent1" w:themeShade="BF"/>
    </w:rPr>
  </w:style>
  <w:style w:type="paragraph" w:styleId="ab">
    <w:name w:val="Intense Quote"/>
    <w:basedOn w:val="a"/>
    <w:next w:val="a"/>
    <w:link w:val="ac"/>
    <w:uiPriority w:val="30"/>
    <w:qFormat/>
    <w:rsid w:val="00B643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6435A"/>
    <w:rPr>
      <w:i/>
      <w:iCs/>
      <w:color w:val="0F4761" w:themeColor="accent1" w:themeShade="BF"/>
    </w:rPr>
  </w:style>
  <w:style w:type="character" w:styleId="ad">
    <w:name w:val="Intense Reference"/>
    <w:basedOn w:val="a0"/>
    <w:uiPriority w:val="32"/>
    <w:qFormat/>
    <w:rsid w:val="00B6435A"/>
    <w:rPr>
      <w:b/>
      <w:bCs/>
      <w:smallCaps/>
      <w:color w:val="0F4761" w:themeColor="accent1" w:themeShade="BF"/>
      <w:spacing w:val="5"/>
    </w:rPr>
  </w:style>
  <w:style w:type="paragraph" w:styleId="ae">
    <w:name w:val="Normal (Web)"/>
    <w:basedOn w:val="a"/>
    <w:uiPriority w:val="99"/>
    <w:semiHidden/>
    <w:unhideWhenUsed/>
    <w:rsid w:val="00E5138C"/>
    <w:pPr>
      <w:widowControl/>
      <w:spacing w:before="100" w:beforeAutospacing="1" w:after="100" w:afterAutospacing="1" w:line="240" w:lineRule="auto"/>
    </w:pPr>
    <w:rPr>
      <w:rFonts w:ascii="宋体" w:eastAsia="宋体" w:hAnsi="宋体" w:cs="宋体"/>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021517">
      <w:bodyDiv w:val="1"/>
      <w:marLeft w:val="0"/>
      <w:marRight w:val="0"/>
      <w:marTop w:val="0"/>
      <w:marBottom w:val="0"/>
      <w:divBdr>
        <w:top w:val="none" w:sz="0" w:space="0" w:color="auto"/>
        <w:left w:val="none" w:sz="0" w:space="0" w:color="auto"/>
        <w:bottom w:val="none" w:sz="0" w:space="0" w:color="auto"/>
        <w:right w:val="none" w:sz="0" w:space="0" w:color="auto"/>
      </w:divBdr>
      <w:divsChild>
        <w:div w:id="1899322628">
          <w:marLeft w:val="0"/>
          <w:marRight w:val="0"/>
          <w:marTop w:val="750"/>
          <w:marBottom w:val="0"/>
          <w:divBdr>
            <w:top w:val="none" w:sz="0" w:space="0" w:color="auto"/>
            <w:left w:val="none" w:sz="0" w:space="0" w:color="auto"/>
            <w:bottom w:val="none" w:sz="0" w:space="0" w:color="auto"/>
            <w:right w:val="none" w:sz="0" w:space="0" w:color="auto"/>
          </w:divBdr>
        </w:div>
      </w:divsChild>
    </w:div>
    <w:div w:id="384069322">
      <w:bodyDiv w:val="1"/>
      <w:marLeft w:val="0"/>
      <w:marRight w:val="0"/>
      <w:marTop w:val="0"/>
      <w:marBottom w:val="0"/>
      <w:divBdr>
        <w:top w:val="none" w:sz="0" w:space="0" w:color="auto"/>
        <w:left w:val="none" w:sz="0" w:space="0" w:color="auto"/>
        <w:bottom w:val="none" w:sz="0" w:space="0" w:color="auto"/>
        <w:right w:val="none" w:sz="0" w:space="0" w:color="auto"/>
      </w:divBdr>
      <w:divsChild>
        <w:div w:id="1607614773">
          <w:marLeft w:val="0"/>
          <w:marRight w:val="0"/>
          <w:marTop w:val="750"/>
          <w:marBottom w:val="0"/>
          <w:divBdr>
            <w:top w:val="none" w:sz="0" w:space="0" w:color="auto"/>
            <w:left w:val="none" w:sz="0" w:space="0" w:color="auto"/>
            <w:bottom w:val="none" w:sz="0" w:space="0" w:color="auto"/>
            <w:right w:val="none" w:sz="0" w:space="0" w:color="auto"/>
          </w:divBdr>
        </w:div>
      </w:divsChild>
    </w:div>
    <w:div w:id="1361317033">
      <w:bodyDiv w:val="1"/>
      <w:marLeft w:val="0"/>
      <w:marRight w:val="0"/>
      <w:marTop w:val="0"/>
      <w:marBottom w:val="0"/>
      <w:divBdr>
        <w:top w:val="none" w:sz="0" w:space="0" w:color="auto"/>
        <w:left w:val="none" w:sz="0" w:space="0" w:color="auto"/>
        <w:bottom w:val="none" w:sz="0" w:space="0" w:color="auto"/>
        <w:right w:val="none" w:sz="0" w:space="0" w:color="auto"/>
      </w:divBdr>
      <w:divsChild>
        <w:div w:id="565148786">
          <w:marLeft w:val="0"/>
          <w:marRight w:val="0"/>
          <w:marTop w:val="7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Zheng</dc:creator>
  <cp:keywords/>
  <dc:description/>
  <cp:lastModifiedBy>Administrator</cp:lastModifiedBy>
  <cp:revision>7</cp:revision>
  <dcterms:created xsi:type="dcterms:W3CDTF">2025-11-05T13:44:00Z</dcterms:created>
  <dcterms:modified xsi:type="dcterms:W3CDTF">2025-11-08T12:59:00Z</dcterms:modified>
</cp:coreProperties>
</file>